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pStyle w:val="NormalWeb"/>
        <w:spacing w:before="0" w:beforeAutospacing="0" w:after="0" w:afterAutospacing="0" w:line="480" w:lineRule="auto"/>
        <w:jc w:val="center"/>
        <w:rPr>
          <w:b/>
          <w:bCs/>
        </w:rPr>
      </w:pPr>
    </w:p>
    <w:p w:rsidR="00247178" w:rsidRPr="00054337" w:rsidRDefault="00247178" w:rsidP="00247178">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000000" w:themeColor="text1"/>
          <w:sz w:val="24"/>
          <w:szCs w:val="24"/>
          <w:shd w:val="clear" w:color="auto" w:fill="FFFFFF"/>
        </w:rPr>
        <w:t>C</w:t>
      </w:r>
      <w:r w:rsidR="00F00D2B">
        <w:rPr>
          <w:rFonts w:ascii="Times New Roman" w:hAnsi="Times New Roman" w:cs="Times New Roman"/>
          <w:b/>
          <w:bCs/>
          <w:color w:val="000000" w:themeColor="text1"/>
          <w:sz w:val="24"/>
          <w:szCs w:val="24"/>
          <w:shd w:val="clear" w:color="auto" w:fill="FFFFFF"/>
        </w:rPr>
        <w:t>are Coordination by APRNs</w:t>
      </w:r>
    </w:p>
    <w:p w:rsidR="00247178" w:rsidRPr="00054337" w:rsidRDefault="00247178" w:rsidP="00247178">
      <w:pPr>
        <w:pStyle w:val="NormalWeb"/>
        <w:spacing w:before="0" w:beforeAutospacing="0" w:after="0" w:afterAutospacing="0" w:line="480" w:lineRule="auto"/>
        <w:jc w:val="center"/>
        <w:rPr>
          <w:color w:val="0E101A"/>
        </w:rPr>
      </w:pPr>
      <w:r w:rsidRPr="00054337">
        <w:rPr>
          <w:color w:val="0E101A"/>
        </w:rPr>
        <w:t>Name</w:t>
      </w:r>
    </w:p>
    <w:p w:rsidR="00247178" w:rsidRPr="00054337" w:rsidRDefault="00247178" w:rsidP="00247178">
      <w:pPr>
        <w:pStyle w:val="NormalWeb"/>
        <w:spacing w:before="0" w:beforeAutospacing="0" w:after="0" w:afterAutospacing="0" w:line="480" w:lineRule="auto"/>
        <w:jc w:val="center"/>
        <w:rPr>
          <w:color w:val="0E101A"/>
        </w:rPr>
      </w:pPr>
      <w:r w:rsidRPr="00054337">
        <w:rPr>
          <w:color w:val="0E101A"/>
        </w:rPr>
        <w:t>Institution</w:t>
      </w:r>
    </w:p>
    <w:p w:rsidR="00247178" w:rsidRPr="00054337" w:rsidRDefault="00247178" w:rsidP="00247178">
      <w:pPr>
        <w:pStyle w:val="NormalWeb"/>
        <w:spacing w:before="0" w:beforeAutospacing="0" w:after="0" w:afterAutospacing="0" w:line="480" w:lineRule="auto"/>
        <w:jc w:val="center"/>
        <w:rPr>
          <w:color w:val="0E101A"/>
        </w:rPr>
      </w:pPr>
      <w:r w:rsidRPr="00054337">
        <w:rPr>
          <w:color w:val="0E101A"/>
        </w:rPr>
        <w:t>Course</w:t>
      </w:r>
    </w:p>
    <w:p w:rsidR="00247178" w:rsidRPr="00054337" w:rsidRDefault="00247178" w:rsidP="00247178">
      <w:pPr>
        <w:pStyle w:val="NormalWeb"/>
        <w:spacing w:before="0" w:beforeAutospacing="0" w:after="0" w:afterAutospacing="0" w:line="480" w:lineRule="auto"/>
        <w:jc w:val="center"/>
        <w:rPr>
          <w:color w:val="0E101A"/>
        </w:rPr>
      </w:pPr>
      <w:r w:rsidRPr="00054337">
        <w:rPr>
          <w:color w:val="0E101A"/>
        </w:rPr>
        <w:t>Professor</w:t>
      </w:r>
    </w:p>
    <w:p w:rsidR="00247178" w:rsidRPr="00054337" w:rsidRDefault="00247178" w:rsidP="00247178">
      <w:pPr>
        <w:pStyle w:val="NormalWeb"/>
        <w:spacing w:before="0" w:beforeAutospacing="0" w:after="0" w:afterAutospacing="0" w:line="480" w:lineRule="auto"/>
        <w:jc w:val="center"/>
        <w:rPr>
          <w:color w:val="0E101A"/>
        </w:rPr>
      </w:pPr>
      <w:r w:rsidRPr="00054337">
        <w:rPr>
          <w:color w:val="0E101A"/>
        </w:rPr>
        <w:t>Date</w:t>
      </w:r>
    </w:p>
    <w:p w:rsidR="00247178" w:rsidRPr="00054337" w:rsidRDefault="00247178" w:rsidP="00247178">
      <w:pPr>
        <w:pStyle w:val="NormalWeb"/>
        <w:spacing w:before="0" w:beforeAutospacing="0" w:after="0" w:afterAutospacing="0" w:line="480" w:lineRule="auto"/>
        <w:jc w:val="center"/>
        <w:rPr>
          <w:color w:val="0E101A"/>
        </w:rPr>
      </w:pPr>
    </w:p>
    <w:p w:rsidR="00247178" w:rsidRPr="00054337" w:rsidRDefault="00247178" w:rsidP="00247178">
      <w:pPr>
        <w:pStyle w:val="NormalWeb"/>
        <w:spacing w:before="0" w:beforeAutospacing="0" w:after="0" w:afterAutospacing="0" w:line="480" w:lineRule="auto"/>
        <w:jc w:val="center"/>
        <w:rPr>
          <w:color w:val="0E101A"/>
        </w:rPr>
      </w:pPr>
    </w:p>
    <w:p w:rsidR="00247178" w:rsidRPr="00054337" w:rsidRDefault="00247178" w:rsidP="00247178">
      <w:pPr>
        <w:pStyle w:val="NormalWeb"/>
        <w:spacing w:before="0" w:beforeAutospacing="0" w:after="0" w:afterAutospacing="0" w:line="480" w:lineRule="auto"/>
        <w:jc w:val="center"/>
        <w:rPr>
          <w:color w:val="0E101A"/>
        </w:rPr>
      </w:pPr>
    </w:p>
    <w:p w:rsidR="00247178" w:rsidRPr="00054337" w:rsidRDefault="00247178" w:rsidP="00247178">
      <w:pPr>
        <w:pStyle w:val="NormalWeb"/>
        <w:spacing w:before="0" w:beforeAutospacing="0" w:after="0" w:afterAutospacing="0" w:line="480" w:lineRule="auto"/>
        <w:jc w:val="center"/>
        <w:rPr>
          <w:color w:val="0E101A"/>
        </w:rPr>
      </w:pPr>
    </w:p>
    <w:p w:rsidR="00247178" w:rsidRPr="00054337" w:rsidRDefault="00247178" w:rsidP="00247178">
      <w:pPr>
        <w:pStyle w:val="NormalWeb"/>
        <w:spacing w:before="0" w:beforeAutospacing="0" w:after="0" w:afterAutospacing="0" w:line="480" w:lineRule="auto"/>
        <w:jc w:val="center"/>
        <w:rPr>
          <w:color w:val="0E101A"/>
        </w:rPr>
      </w:pPr>
    </w:p>
    <w:p w:rsidR="00247178" w:rsidRPr="00054337" w:rsidRDefault="00247178" w:rsidP="00247178">
      <w:pPr>
        <w:pStyle w:val="NormalWeb"/>
        <w:spacing w:before="0" w:beforeAutospacing="0" w:after="0" w:afterAutospacing="0" w:line="480" w:lineRule="auto"/>
        <w:jc w:val="center"/>
        <w:rPr>
          <w:color w:val="0E101A"/>
        </w:rPr>
      </w:pPr>
    </w:p>
    <w:p w:rsidR="00247178" w:rsidRPr="00054337" w:rsidRDefault="00247178" w:rsidP="00247178">
      <w:pPr>
        <w:pStyle w:val="NormalWeb"/>
        <w:spacing w:before="0" w:beforeAutospacing="0" w:after="0" w:afterAutospacing="0" w:line="480" w:lineRule="auto"/>
        <w:jc w:val="center"/>
        <w:rPr>
          <w:color w:val="0E101A"/>
        </w:rPr>
      </w:pPr>
    </w:p>
    <w:p w:rsidR="001B3011" w:rsidRDefault="001B3011" w:rsidP="001B3011">
      <w:pPr>
        <w:spacing w:line="480" w:lineRule="auto"/>
        <w:jc w:val="center"/>
        <w:rPr>
          <w:rFonts w:ascii="Times New Roman" w:hAnsi="Times New Roman" w:cs="Times New Roman"/>
          <w:b/>
          <w:bCs/>
          <w:color w:val="222222"/>
          <w:sz w:val="24"/>
          <w:szCs w:val="24"/>
          <w:shd w:val="clear" w:color="auto" w:fill="FFFFFF"/>
        </w:rPr>
      </w:pPr>
      <w:r w:rsidRPr="001B3011">
        <w:rPr>
          <w:rFonts w:ascii="Times New Roman" w:hAnsi="Times New Roman" w:cs="Times New Roman"/>
          <w:b/>
          <w:bCs/>
          <w:color w:val="222222"/>
          <w:sz w:val="24"/>
          <w:szCs w:val="24"/>
          <w:shd w:val="clear" w:color="auto" w:fill="FFFFFF"/>
        </w:rPr>
        <w:lastRenderedPageBreak/>
        <w:t xml:space="preserve">Care Coordination </w:t>
      </w:r>
      <w:r w:rsidR="00F00D2B">
        <w:rPr>
          <w:rFonts w:ascii="Times New Roman" w:hAnsi="Times New Roman" w:cs="Times New Roman"/>
          <w:b/>
          <w:bCs/>
          <w:color w:val="222222"/>
          <w:sz w:val="24"/>
          <w:szCs w:val="24"/>
          <w:shd w:val="clear" w:color="auto" w:fill="FFFFFF"/>
        </w:rPr>
        <w:t>b</w:t>
      </w:r>
      <w:r w:rsidRPr="001B3011">
        <w:rPr>
          <w:rFonts w:ascii="Times New Roman" w:hAnsi="Times New Roman" w:cs="Times New Roman"/>
          <w:b/>
          <w:bCs/>
          <w:color w:val="222222"/>
          <w:sz w:val="24"/>
          <w:szCs w:val="24"/>
          <w:shd w:val="clear" w:color="auto" w:fill="FFFFFF"/>
        </w:rPr>
        <w:t>y A</w:t>
      </w:r>
      <w:r>
        <w:rPr>
          <w:rFonts w:ascii="Times New Roman" w:hAnsi="Times New Roman" w:cs="Times New Roman"/>
          <w:b/>
          <w:bCs/>
          <w:color w:val="222222"/>
          <w:sz w:val="24"/>
          <w:szCs w:val="24"/>
          <w:shd w:val="clear" w:color="auto" w:fill="FFFFFF"/>
        </w:rPr>
        <w:t>PRN</w:t>
      </w:r>
      <w:r w:rsidRPr="001B3011">
        <w:rPr>
          <w:rFonts w:ascii="Times New Roman" w:hAnsi="Times New Roman" w:cs="Times New Roman"/>
          <w:b/>
          <w:bCs/>
          <w:color w:val="222222"/>
          <w:sz w:val="24"/>
          <w:szCs w:val="24"/>
          <w:shd w:val="clear" w:color="auto" w:fill="FFFFFF"/>
        </w:rPr>
        <w:t>s</w:t>
      </w:r>
    </w:p>
    <w:p w:rsidR="00F00D2B" w:rsidRPr="00F00D2B" w:rsidRDefault="00F00D2B" w:rsidP="001B3011">
      <w:pPr>
        <w:spacing w:line="480" w:lineRule="auto"/>
        <w:jc w:val="center"/>
        <w:rPr>
          <w:rFonts w:ascii="Times New Roman" w:hAnsi="Times New Roman" w:cs="Times New Roman"/>
          <w:b/>
          <w:bCs/>
          <w:color w:val="222222"/>
          <w:sz w:val="28"/>
          <w:szCs w:val="28"/>
          <w:shd w:val="clear" w:color="auto" w:fill="FFFFFF"/>
        </w:rPr>
      </w:pPr>
      <w:r>
        <w:rPr>
          <w:rFonts w:ascii="Times New Roman" w:hAnsi="Times New Roman" w:cs="Times New Roman"/>
          <w:b/>
          <w:bCs/>
          <w:color w:val="222222"/>
          <w:sz w:val="24"/>
          <w:szCs w:val="24"/>
          <w:shd w:val="clear" w:color="auto" w:fill="FFFFFF"/>
        </w:rPr>
        <w:t>D</w:t>
      </w:r>
      <w:r w:rsidRPr="00F00D2B">
        <w:rPr>
          <w:rFonts w:ascii="Times New Roman" w:hAnsi="Times New Roman" w:cs="Times New Roman"/>
          <w:b/>
          <w:bCs/>
          <w:color w:val="222222"/>
          <w:sz w:val="24"/>
          <w:szCs w:val="24"/>
          <w:shd w:val="clear" w:color="auto" w:fill="FFFFFF"/>
        </w:rPr>
        <w:t>iscuss how care coordination by APRNs can positively affect patient care in various clinical settings. Select a health setting and describe the various ways in which an APRN could implement care coordination and care management activities in that setting.</w:t>
      </w:r>
    </w:p>
    <w:p w:rsidR="00A867E2" w:rsidRDefault="00A867E2" w:rsidP="00A867E2">
      <w:pPr>
        <w:spacing w:line="480" w:lineRule="auto"/>
        <w:ind w:firstLine="720"/>
        <w:jc w:val="both"/>
        <w:rPr>
          <w:rFonts w:ascii="Times New Roman" w:hAnsi="Times New Roman" w:cs="Times New Roman"/>
          <w:sz w:val="24"/>
          <w:szCs w:val="24"/>
        </w:rPr>
      </w:pPr>
      <w:r w:rsidRPr="0093733C">
        <w:rPr>
          <w:rFonts w:ascii="Times New Roman" w:hAnsi="Times New Roman" w:cs="Times New Roman"/>
          <w:sz w:val="24"/>
          <w:szCs w:val="24"/>
        </w:rPr>
        <w:t>As health care evolves at a breakneck pace, new models of care must contain a comprehensive grasp of care coordination and transitional management across the spectrum. Advanced Practice Registered Nurses (APRNs) are uniquely qualified to plan and offer these services to patients</w:t>
      </w:r>
      <w:r>
        <w:rPr>
          <w:rFonts w:ascii="Times New Roman" w:hAnsi="Times New Roman" w:cs="Times New Roman"/>
          <w:sz w:val="24"/>
          <w:szCs w:val="24"/>
        </w:rPr>
        <w:t xml:space="preserve"> (Schroeder et al., 2018)</w:t>
      </w:r>
      <w:r w:rsidRPr="0093733C">
        <w:rPr>
          <w:rFonts w:ascii="Times New Roman" w:hAnsi="Times New Roman" w:cs="Times New Roman"/>
          <w:sz w:val="24"/>
          <w:szCs w:val="24"/>
        </w:rPr>
        <w:t>. Care coordination and transition management responsibilities are required to help enhance individual care quality, improve public health, and lower costs. Care coordination around the requirements of patients has been recognized as a critical component of integration that makes it easier to provide comprehensive and integrated care, and APRNs can take the lead on this</w:t>
      </w:r>
      <w:r>
        <w:rPr>
          <w:rFonts w:ascii="Times New Roman" w:hAnsi="Times New Roman" w:cs="Times New Roman"/>
          <w:sz w:val="24"/>
          <w:szCs w:val="24"/>
        </w:rPr>
        <w:t xml:space="preserve"> (Schroeder et al., 2018)</w:t>
      </w:r>
      <w:r w:rsidRPr="0093733C">
        <w:rPr>
          <w:rFonts w:ascii="Times New Roman" w:hAnsi="Times New Roman" w:cs="Times New Roman"/>
          <w:sz w:val="24"/>
          <w:szCs w:val="24"/>
        </w:rPr>
        <w:t>.Millions of people worldwide have complex demands that go beyond what the traditional healthcare system can provide. Patients with chronic conditions are left to navigate their way through services and providers due to the division of health and social care services and often find systems complicated and overwhelming</w:t>
      </w:r>
      <w:r>
        <w:rPr>
          <w:rFonts w:ascii="Times New Roman" w:hAnsi="Times New Roman" w:cs="Times New Roman"/>
          <w:sz w:val="24"/>
          <w:szCs w:val="24"/>
        </w:rPr>
        <w:t xml:space="preserve"> (Schroeder et al., 2018)</w:t>
      </w:r>
      <w:r w:rsidRPr="0093733C">
        <w:rPr>
          <w:rFonts w:ascii="Times New Roman" w:hAnsi="Times New Roman" w:cs="Times New Roman"/>
          <w:sz w:val="24"/>
          <w:szCs w:val="24"/>
        </w:rPr>
        <w:t>. Care coordination and integration of health and social care providers are significantly more critical for these individuals.</w:t>
      </w:r>
    </w:p>
    <w:p w:rsidR="00A867E2" w:rsidRDefault="00A867E2" w:rsidP="00A867E2">
      <w:pPr>
        <w:spacing w:line="480" w:lineRule="auto"/>
        <w:ind w:firstLine="720"/>
        <w:jc w:val="both"/>
        <w:rPr>
          <w:rFonts w:ascii="Times New Roman" w:hAnsi="Times New Roman" w:cs="Times New Roman"/>
          <w:sz w:val="24"/>
          <w:szCs w:val="24"/>
        </w:rPr>
      </w:pPr>
      <w:r w:rsidRPr="0093733C">
        <w:rPr>
          <w:rFonts w:ascii="Times New Roman" w:hAnsi="Times New Roman" w:cs="Times New Roman"/>
          <w:sz w:val="24"/>
          <w:szCs w:val="24"/>
        </w:rPr>
        <w:t xml:space="preserve"> Palliative care patients are a good example. Patients with significant life-threatening conditions can benefit greatly from the services of APRNs. Palliative care can be given simultaneously with curative treatments reducing the healthcare gaps</w:t>
      </w:r>
      <w:r>
        <w:rPr>
          <w:rFonts w:ascii="Times New Roman" w:hAnsi="Times New Roman" w:cs="Times New Roman"/>
          <w:sz w:val="24"/>
          <w:szCs w:val="24"/>
        </w:rPr>
        <w:t xml:space="preserve"> (Schroeder et al., 2018)</w:t>
      </w:r>
      <w:r w:rsidRPr="0093733C">
        <w:rPr>
          <w:rFonts w:ascii="Times New Roman" w:hAnsi="Times New Roman" w:cs="Times New Roman"/>
          <w:sz w:val="24"/>
          <w:szCs w:val="24"/>
        </w:rPr>
        <w:t>. Ongoing ca</w:t>
      </w:r>
      <w:r>
        <w:rPr>
          <w:rFonts w:ascii="Times New Roman" w:hAnsi="Times New Roman" w:cs="Times New Roman"/>
          <w:sz w:val="24"/>
          <w:szCs w:val="24"/>
        </w:rPr>
        <w:t>re is different from</w:t>
      </w:r>
      <w:r w:rsidRPr="0093733C">
        <w:rPr>
          <w:rFonts w:ascii="Times New Roman" w:hAnsi="Times New Roman" w:cs="Times New Roman"/>
          <w:sz w:val="24"/>
          <w:szCs w:val="24"/>
        </w:rPr>
        <w:t xml:space="preserve"> ordinary hospice strategy, in which curative treatment or life-prolonging intercessions like palliative chemotherapy have typically been withdrawn. In low- </w:t>
      </w:r>
      <w:r w:rsidRPr="0093733C">
        <w:rPr>
          <w:rFonts w:ascii="Times New Roman" w:hAnsi="Times New Roman" w:cs="Times New Roman"/>
          <w:sz w:val="24"/>
          <w:szCs w:val="24"/>
        </w:rPr>
        <w:lastRenderedPageBreak/>
        <w:t>and lower-middle-income areas, where accessibility to curative care is inadequate, the simultaneous model of palliative care may be particularly significant whereby APRNs can fill this healthcare shortage gap and alleviate access issues for patients with chronic conditions or at the end of life</w:t>
      </w:r>
      <w:r>
        <w:rPr>
          <w:rFonts w:ascii="Times New Roman" w:hAnsi="Times New Roman" w:cs="Times New Roman"/>
          <w:sz w:val="24"/>
          <w:szCs w:val="24"/>
        </w:rPr>
        <w:t xml:space="preserve"> (Schroeder et al., 2018)</w:t>
      </w:r>
      <w:r w:rsidRPr="0093733C">
        <w:rPr>
          <w:rFonts w:ascii="Times New Roman" w:hAnsi="Times New Roman" w:cs="Times New Roman"/>
          <w:sz w:val="24"/>
          <w:szCs w:val="24"/>
        </w:rPr>
        <w:t xml:space="preserve">.APRNs have </w:t>
      </w:r>
      <w:r>
        <w:rPr>
          <w:rFonts w:ascii="Times New Roman" w:hAnsi="Times New Roman" w:cs="Times New Roman"/>
          <w:sz w:val="24"/>
          <w:szCs w:val="24"/>
        </w:rPr>
        <w:t xml:space="preserve">extensive </w:t>
      </w:r>
      <w:r w:rsidRPr="0093733C">
        <w:rPr>
          <w:rFonts w:ascii="Times New Roman" w:hAnsi="Times New Roman" w:cs="Times New Roman"/>
          <w:sz w:val="24"/>
          <w:szCs w:val="24"/>
        </w:rPr>
        <w:t xml:space="preserve">knowledge, such as disease pathophysiology, sophisticated pain and symptom evaluation, and the ability to synthesize compound information to develop, incorporate, and organize extensive, holistic patient-centered treatment plans with goals of optimizing health, quality of life, and functional ability, according to their educational </w:t>
      </w:r>
      <w:r>
        <w:rPr>
          <w:rFonts w:ascii="Times New Roman" w:hAnsi="Times New Roman" w:cs="Times New Roman"/>
          <w:sz w:val="24"/>
          <w:szCs w:val="24"/>
        </w:rPr>
        <w:t xml:space="preserve">background. </w:t>
      </w:r>
      <w:r w:rsidRPr="0093733C">
        <w:rPr>
          <w:rFonts w:ascii="Times New Roman" w:hAnsi="Times New Roman" w:cs="Times New Roman"/>
          <w:sz w:val="24"/>
          <w:szCs w:val="24"/>
        </w:rPr>
        <w:t>They are also professionals in management, counseling, communication skills, and advanced care planning for people who have severe, life-threatening illnesses or are about to die</w:t>
      </w:r>
      <w:r>
        <w:rPr>
          <w:rFonts w:ascii="Times New Roman" w:hAnsi="Times New Roman" w:cs="Times New Roman"/>
          <w:sz w:val="24"/>
          <w:szCs w:val="24"/>
        </w:rPr>
        <w:t xml:space="preserve"> (Schroeder et al., 2018)</w:t>
      </w:r>
      <w:r w:rsidRPr="0093733C">
        <w:rPr>
          <w:rFonts w:ascii="Times New Roman" w:hAnsi="Times New Roman" w:cs="Times New Roman"/>
          <w:sz w:val="24"/>
          <w:szCs w:val="24"/>
        </w:rPr>
        <w:t>. APRNs may be able to practice freely, provide medications, and bill depending on their state warranty.</w:t>
      </w:r>
    </w:p>
    <w:p w:rsidR="000757D8" w:rsidRPr="000757D8" w:rsidRDefault="000757D8" w:rsidP="000757D8">
      <w:pPr>
        <w:spacing w:line="480" w:lineRule="auto"/>
        <w:jc w:val="center"/>
        <w:rPr>
          <w:rFonts w:ascii="Times New Roman" w:hAnsi="Times New Roman" w:cs="Times New Roman"/>
          <w:b/>
          <w:bCs/>
          <w:sz w:val="28"/>
          <w:szCs w:val="28"/>
        </w:rPr>
      </w:pPr>
      <w:r w:rsidRPr="000757D8">
        <w:rPr>
          <w:rFonts w:ascii="Times New Roman" w:hAnsi="Times New Roman" w:cs="Times New Roman"/>
          <w:b/>
          <w:bCs/>
          <w:color w:val="222222"/>
          <w:sz w:val="24"/>
          <w:szCs w:val="24"/>
          <w:shd w:val="clear" w:color="auto" w:fill="FFFFFF"/>
        </w:rPr>
        <w:t>Explain how information technology and electronic health records influence patient care and coordination</w:t>
      </w:r>
    </w:p>
    <w:p w:rsidR="00A867E2" w:rsidRPr="0093733C" w:rsidRDefault="00A867E2" w:rsidP="00A867E2">
      <w:pPr>
        <w:spacing w:line="480" w:lineRule="auto"/>
        <w:ind w:firstLine="720"/>
        <w:jc w:val="both"/>
        <w:rPr>
          <w:rFonts w:ascii="Times New Roman" w:hAnsi="Times New Roman" w:cs="Times New Roman"/>
          <w:sz w:val="24"/>
          <w:szCs w:val="24"/>
        </w:rPr>
      </w:pPr>
      <w:r w:rsidRPr="0093733C">
        <w:rPr>
          <w:rFonts w:ascii="Times New Roman" w:hAnsi="Times New Roman" w:cs="Times New Roman"/>
          <w:sz w:val="24"/>
          <w:szCs w:val="24"/>
        </w:rPr>
        <w:t>Because care coordination necessitates the collaboration of a multidisciplinary team, patients' perspectives must be less fragmented. Since each expert has a specific, restricted encounter with the patient, the health care team's picture of the patient can become fractured into disjointed facts and clusters of symptoms. By increasing care coordination, electronic health record (EHR) systems can help to decrease care disintegration</w:t>
      </w:r>
      <w:r>
        <w:rPr>
          <w:rFonts w:ascii="Times New Roman" w:hAnsi="Times New Roman" w:cs="Times New Roman"/>
          <w:sz w:val="24"/>
          <w:szCs w:val="24"/>
        </w:rPr>
        <w:t xml:space="preserve"> (Health, 2017)</w:t>
      </w:r>
      <w:r w:rsidRPr="0093733C">
        <w:rPr>
          <w:rFonts w:ascii="Times New Roman" w:hAnsi="Times New Roman" w:cs="Times New Roman"/>
          <w:sz w:val="24"/>
          <w:szCs w:val="24"/>
        </w:rPr>
        <w:t xml:space="preserve">. EHRs offer the potential to combine and categorize patient health information and make it obtainable to all authorized physicians involved in the patient's handling in real-time. EHR notifications, for instance, can be used to tell doctors when a patient has been admitted to the hospital, allowing them to communication </w:t>
      </w:r>
      <w:r>
        <w:rPr>
          <w:rFonts w:ascii="Times New Roman" w:hAnsi="Times New Roman" w:cs="Times New Roman"/>
          <w:sz w:val="24"/>
          <w:szCs w:val="24"/>
        </w:rPr>
        <w:t xml:space="preserve">with </w:t>
      </w:r>
      <w:r w:rsidRPr="0093733C">
        <w:rPr>
          <w:rFonts w:ascii="Times New Roman" w:hAnsi="Times New Roman" w:cs="Times New Roman"/>
          <w:sz w:val="24"/>
          <w:szCs w:val="24"/>
        </w:rPr>
        <w:t>the patient ahead of time</w:t>
      </w:r>
      <w:r>
        <w:rPr>
          <w:rFonts w:ascii="Times New Roman" w:hAnsi="Times New Roman" w:cs="Times New Roman"/>
          <w:sz w:val="24"/>
          <w:szCs w:val="24"/>
        </w:rPr>
        <w:t xml:space="preserve"> (Health, 2017)</w:t>
      </w:r>
      <w:r w:rsidRPr="0093733C">
        <w:rPr>
          <w:rFonts w:ascii="Times New Roman" w:hAnsi="Times New Roman" w:cs="Times New Roman"/>
          <w:sz w:val="24"/>
          <w:szCs w:val="24"/>
        </w:rPr>
        <w:t>.</w:t>
      </w:r>
    </w:p>
    <w:p w:rsidR="006C0170" w:rsidRPr="006C0170" w:rsidRDefault="006C0170" w:rsidP="006C0170">
      <w:pPr>
        <w:spacing w:line="480" w:lineRule="auto"/>
        <w:jc w:val="center"/>
        <w:rPr>
          <w:rFonts w:ascii="Times New Roman" w:hAnsi="Times New Roman" w:cs="Times New Roman"/>
          <w:b/>
          <w:bCs/>
          <w:sz w:val="28"/>
          <w:szCs w:val="28"/>
        </w:rPr>
      </w:pPr>
      <w:r w:rsidRPr="006C0170">
        <w:rPr>
          <w:rFonts w:ascii="Times New Roman" w:hAnsi="Times New Roman" w:cs="Times New Roman"/>
          <w:b/>
          <w:bCs/>
          <w:color w:val="222222"/>
          <w:sz w:val="24"/>
          <w:szCs w:val="24"/>
          <w:shd w:val="clear" w:color="auto" w:fill="FFFFFF"/>
        </w:rPr>
        <w:lastRenderedPageBreak/>
        <w:t>Analyze facilitating factors as well as barriers and challenges related to the adoption of care coordination practices in healthcare settings. </w:t>
      </w:r>
    </w:p>
    <w:p w:rsidR="00A867E2" w:rsidRDefault="00A867E2" w:rsidP="00A867E2">
      <w:pPr>
        <w:spacing w:line="480" w:lineRule="auto"/>
        <w:ind w:firstLine="720"/>
        <w:jc w:val="both"/>
        <w:rPr>
          <w:rFonts w:ascii="Times New Roman" w:hAnsi="Times New Roman" w:cs="Times New Roman"/>
          <w:sz w:val="24"/>
          <w:szCs w:val="24"/>
        </w:rPr>
      </w:pPr>
      <w:r w:rsidRPr="0093733C">
        <w:rPr>
          <w:rFonts w:ascii="Times New Roman" w:hAnsi="Times New Roman" w:cs="Times New Roman"/>
          <w:sz w:val="24"/>
          <w:szCs w:val="24"/>
        </w:rPr>
        <w:t>Primary care clinicians will have to address various barriers to adoption, including mismatched electronic health records (EHRs), inadequate collaboration with specialists, an insufficient resource, and polypharmacy if care coordination is to deliver on its promise</w:t>
      </w:r>
      <w:r>
        <w:rPr>
          <w:rFonts w:ascii="Times New Roman" w:hAnsi="Times New Roman" w:cs="Times New Roman"/>
          <w:sz w:val="24"/>
          <w:szCs w:val="24"/>
        </w:rPr>
        <w:t xml:space="preserve"> (Friedman et al., 2016)</w:t>
      </w:r>
      <w:r w:rsidRPr="0093733C">
        <w:rPr>
          <w:rFonts w:ascii="Times New Roman" w:hAnsi="Times New Roman" w:cs="Times New Roman"/>
          <w:sz w:val="24"/>
          <w:szCs w:val="24"/>
        </w:rPr>
        <w:t>. For instance, Fragmented electronic health records are one of the most prominent issues. Integrating medical records among providers is necessary for coordinated treatment, but achieving seamless digital transfers is difficult. Information technology systems that lack the requisite functionality and seamlessness make the data management part of care coordination more difficult</w:t>
      </w:r>
      <w:r>
        <w:rPr>
          <w:rFonts w:ascii="Times New Roman" w:hAnsi="Times New Roman" w:cs="Times New Roman"/>
          <w:sz w:val="24"/>
          <w:szCs w:val="24"/>
        </w:rPr>
        <w:t xml:space="preserve"> (Friedman et al., 2016)</w:t>
      </w:r>
      <w:r w:rsidRPr="0093733C">
        <w:rPr>
          <w:rFonts w:ascii="Times New Roman" w:hAnsi="Times New Roman" w:cs="Times New Roman"/>
          <w:sz w:val="24"/>
          <w:szCs w:val="24"/>
        </w:rPr>
        <w:t>. Independent primary care physicians face a particularly acute difficulty, who are less likely to be tethered to more extensive digital networks. Some doctors have upgraded their electronic health records (EHRs) to increase interoperability and, as a result, their capacity to amass and evaluate the patient data they require for care coordination, coding, and billing</w:t>
      </w:r>
      <w:r>
        <w:rPr>
          <w:rFonts w:ascii="Times New Roman" w:hAnsi="Times New Roman" w:cs="Times New Roman"/>
          <w:sz w:val="24"/>
          <w:szCs w:val="24"/>
        </w:rPr>
        <w:t xml:space="preserve"> (Friedman et al., 2016)</w:t>
      </w:r>
      <w:r w:rsidRPr="0093733C">
        <w:rPr>
          <w:rFonts w:ascii="Times New Roman" w:hAnsi="Times New Roman" w:cs="Times New Roman"/>
          <w:sz w:val="24"/>
          <w:szCs w:val="24"/>
        </w:rPr>
        <w:t>. Limited EHR interoperability poses a challenge to the risk of detrimental polypharmacy-adverse relations caused by drugs prescribed by different doctors.</w:t>
      </w:r>
    </w:p>
    <w:p w:rsidR="006C0170" w:rsidRPr="006C0170" w:rsidRDefault="006C0170" w:rsidP="006C0170">
      <w:pPr>
        <w:spacing w:line="480" w:lineRule="auto"/>
        <w:jc w:val="center"/>
        <w:rPr>
          <w:rFonts w:ascii="Times New Roman" w:hAnsi="Times New Roman" w:cs="Times New Roman"/>
          <w:b/>
          <w:bCs/>
          <w:sz w:val="28"/>
          <w:szCs w:val="28"/>
        </w:rPr>
      </w:pPr>
      <w:r w:rsidRPr="006C0170">
        <w:rPr>
          <w:rFonts w:ascii="Times New Roman" w:hAnsi="Times New Roman" w:cs="Times New Roman"/>
          <w:b/>
          <w:bCs/>
          <w:color w:val="222222"/>
          <w:sz w:val="24"/>
          <w:szCs w:val="24"/>
          <w:shd w:val="clear" w:color="auto" w:fill="FFFFFF"/>
        </w:rPr>
        <w:t>Explain how APRN advocacy at the local, state, and federal levels influences legislative practices. What effect does this have on the future of advanced nursing practice in your home state?</w:t>
      </w:r>
    </w:p>
    <w:p w:rsidR="00A867E2" w:rsidRPr="0093733C" w:rsidRDefault="00A867E2" w:rsidP="00A867E2">
      <w:pPr>
        <w:spacing w:line="480" w:lineRule="auto"/>
        <w:ind w:firstLine="720"/>
        <w:jc w:val="both"/>
        <w:rPr>
          <w:rFonts w:ascii="Times New Roman" w:hAnsi="Times New Roman" w:cs="Times New Roman"/>
          <w:sz w:val="24"/>
          <w:szCs w:val="24"/>
        </w:rPr>
      </w:pPr>
      <w:r w:rsidRPr="0093733C">
        <w:rPr>
          <w:rFonts w:ascii="Times New Roman" w:hAnsi="Times New Roman" w:cs="Times New Roman"/>
          <w:sz w:val="24"/>
          <w:szCs w:val="24"/>
        </w:rPr>
        <w:t>The American Nursing Association regards advocacy as a nursing ethic, and it is at the heart of the nursing field. APRNs are prepared to serve as advocates by giving patients, their communities, their industry, and, perhaps most importantly, themselves a voice</w:t>
      </w:r>
      <w:r>
        <w:rPr>
          <w:rFonts w:ascii="Times New Roman" w:hAnsi="Times New Roman" w:cs="Times New Roman"/>
          <w:sz w:val="24"/>
          <w:szCs w:val="24"/>
        </w:rPr>
        <w:t xml:space="preserve"> (Altman et al., </w:t>
      </w:r>
      <w:r>
        <w:rPr>
          <w:rFonts w:ascii="Times New Roman" w:hAnsi="Times New Roman" w:cs="Times New Roman"/>
          <w:sz w:val="24"/>
          <w:szCs w:val="24"/>
        </w:rPr>
        <w:lastRenderedPageBreak/>
        <w:t>2016</w:t>
      </w:r>
      <w:r w:rsidRPr="0093733C">
        <w:rPr>
          <w:rFonts w:ascii="Times New Roman" w:hAnsi="Times New Roman" w:cs="Times New Roman"/>
          <w:sz w:val="24"/>
          <w:szCs w:val="24"/>
        </w:rPr>
        <w:t>. APRNs in the United States have been given several platforms such as ANA Advocacy Resource Tools that allow them to participate in policymaking and advocacy that affects the science of care coordination</w:t>
      </w:r>
      <w:r>
        <w:rPr>
          <w:rFonts w:ascii="Times New Roman" w:hAnsi="Times New Roman" w:cs="Times New Roman"/>
          <w:sz w:val="24"/>
          <w:szCs w:val="24"/>
        </w:rPr>
        <w:t xml:space="preserve"> (Altman et al., 2016)</w:t>
      </w:r>
      <w:r w:rsidRPr="0093733C">
        <w:rPr>
          <w:rFonts w:ascii="Times New Roman" w:hAnsi="Times New Roman" w:cs="Times New Roman"/>
          <w:sz w:val="24"/>
          <w:szCs w:val="24"/>
        </w:rPr>
        <w:t>. However, it is critical that all APRNs stay up to date on not only healthcare reform policy but also changes to existing legislation that affects health care delivery. The influence of APRN-delivered health care on efficiency, safety, and expenses cannot be overlooked, necessitating local, state, and federal lobbying. Advocacy necessitates dedication and presence. Politically active APRNs assist in crafting and shaping the reforms required to highlight APRNs' role in delivering high-quality, safe, and cost-effective services at all three levels</w:t>
      </w:r>
      <w:r>
        <w:rPr>
          <w:rFonts w:ascii="Times New Roman" w:hAnsi="Times New Roman" w:cs="Times New Roman"/>
          <w:sz w:val="24"/>
          <w:szCs w:val="24"/>
        </w:rPr>
        <w:t xml:space="preserve"> (Altman et al., 2016)</w:t>
      </w:r>
      <w:r w:rsidRPr="0093733C">
        <w:rPr>
          <w:rFonts w:ascii="Times New Roman" w:hAnsi="Times New Roman" w:cs="Times New Roman"/>
          <w:sz w:val="24"/>
          <w:szCs w:val="24"/>
        </w:rPr>
        <w:t>. Limitations on APRN area of practice and healthcare delivery have a negative effect on communities because highly educated and experienced APRNs with constrained state practice acts are unable to provide necessary assistance.</w:t>
      </w:r>
    </w:p>
    <w:p w:rsidR="00A867E2" w:rsidRPr="0093733C" w:rsidRDefault="00A867E2" w:rsidP="00A867E2">
      <w:pPr>
        <w:spacing w:line="480" w:lineRule="auto"/>
        <w:ind w:firstLine="720"/>
        <w:jc w:val="both"/>
        <w:rPr>
          <w:rFonts w:ascii="Times New Roman" w:hAnsi="Times New Roman" w:cs="Times New Roman"/>
          <w:sz w:val="24"/>
          <w:szCs w:val="24"/>
        </w:rPr>
      </w:pPr>
      <w:r w:rsidRPr="0093733C">
        <w:rPr>
          <w:rFonts w:ascii="Times New Roman" w:hAnsi="Times New Roman" w:cs="Times New Roman"/>
          <w:sz w:val="24"/>
          <w:szCs w:val="24"/>
        </w:rPr>
        <w:t>APRN advocacy is dedicated to removing barriers to APRN practice so that they can practice to the maximum capabilities of their skills and education, changing the future of APRNs forever. An APRN's capacity to use their expertise, skills, and competence to realize the full potential of their education and training is known as full practice authority</w:t>
      </w:r>
      <w:r>
        <w:rPr>
          <w:rFonts w:ascii="Times New Roman" w:hAnsi="Times New Roman" w:cs="Times New Roman"/>
          <w:sz w:val="24"/>
          <w:szCs w:val="24"/>
        </w:rPr>
        <w:t xml:space="preserve"> (Altman et al., 2016)</w:t>
      </w:r>
      <w:r w:rsidRPr="0093733C">
        <w:rPr>
          <w:rFonts w:ascii="Times New Roman" w:hAnsi="Times New Roman" w:cs="Times New Roman"/>
          <w:sz w:val="24"/>
          <w:szCs w:val="24"/>
        </w:rPr>
        <w:t>. Many non-physician health care practitioners are educated and willing to help meet the demand of shortages in primary care. Still, their scope of practice placed by specific organizations such as the Institute of Medicine prevents them from doing so.</w:t>
      </w:r>
    </w:p>
    <w:p w:rsidR="00247178" w:rsidRPr="00DC6CB3" w:rsidRDefault="00247178" w:rsidP="00247178">
      <w:pPr>
        <w:spacing w:line="480" w:lineRule="auto"/>
        <w:ind w:firstLine="720"/>
        <w:jc w:val="both"/>
        <w:rPr>
          <w:rFonts w:ascii="Times New Roman" w:hAnsi="Times New Roman" w:cs="Times New Roman"/>
          <w:sz w:val="24"/>
          <w:szCs w:val="24"/>
        </w:rPr>
      </w:pPr>
    </w:p>
    <w:p w:rsidR="00247178" w:rsidRPr="00054337" w:rsidRDefault="00247178" w:rsidP="00247178">
      <w:pPr>
        <w:spacing w:line="480" w:lineRule="auto"/>
        <w:ind w:firstLine="720"/>
        <w:jc w:val="both"/>
        <w:rPr>
          <w:rFonts w:ascii="Times New Roman" w:hAnsi="Times New Roman" w:cs="Times New Roman"/>
          <w:sz w:val="24"/>
          <w:szCs w:val="24"/>
        </w:rPr>
      </w:pPr>
    </w:p>
    <w:p w:rsidR="00247178" w:rsidRPr="00054337" w:rsidRDefault="00247178" w:rsidP="00247178">
      <w:pPr>
        <w:jc w:val="center"/>
        <w:rPr>
          <w:rFonts w:ascii="Times New Roman" w:hAnsi="Times New Roman" w:cs="Times New Roman"/>
          <w:b/>
          <w:bCs/>
          <w:sz w:val="24"/>
          <w:szCs w:val="24"/>
        </w:rPr>
      </w:pPr>
    </w:p>
    <w:p w:rsidR="00247178" w:rsidRPr="00054337" w:rsidRDefault="00247178" w:rsidP="00247178">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247178" w:rsidRPr="009257A2" w:rsidRDefault="00247178" w:rsidP="009257A2">
      <w:pPr>
        <w:jc w:val="center"/>
        <w:rPr>
          <w:rFonts w:ascii="Times New Roman" w:hAnsi="Times New Roman" w:cs="Times New Roman"/>
          <w:b/>
          <w:bCs/>
          <w:sz w:val="24"/>
          <w:szCs w:val="24"/>
        </w:rPr>
      </w:pPr>
      <w:r w:rsidRPr="00054337">
        <w:rPr>
          <w:rFonts w:ascii="Times New Roman" w:hAnsi="Times New Roman" w:cs="Times New Roman"/>
          <w:b/>
          <w:bCs/>
          <w:sz w:val="24"/>
          <w:szCs w:val="24"/>
        </w:rPr>
        <w:lastRenderedPageBreak/>
        <w:t>Reference</w:t>
      </w:r>
      <w:r>
        <w:rPr>
          <w:rFonts w:ascii="Times New Roman" w:hAnsi="Times New Roman" w:cs="Times New Roman"/>
          <w:b/>
          <w:bCs/>
          <w:sz w:val="24"/>
          <w:szCs w:val="24"/>
        </w:rPr>
        <w:t>s</w:t>
      </w:r>
    </w:p>
    <w:p w:rsidR="00B27A22" w:rsidRPr="00914FBB" w:rsidRDefault="00B27A22" w:rsidP="00914FBB">
      <w:pPr>
        <w:spacing w:before="100" w:beforeAutospacing="1" w:after="100" w:afterAutospacing="1" w:line="480" w:lineRule="auto"/>
        <w:ind w:left="567" w:hanging="567"/>
        <w:jc w:val="both"/>
        <w:rPr>
          <w:rFonts w:ascii="Times New Roman" w:hAnsi="Times New Roman" w:cs="Times New Roman"/>
          <w:color w:val="222222"/>
          <w:sz w:val="24"/>
          <w:szCs w:val="24"/>
          <w:shd w:val="clear" w:color="auto" w:fill="FFFFFF"/>
        </w:rPr>
      </w:pPr>
      <w:r w:rsidRPr="00914FBB">
        <w:rPr>
          <w:rFonts w:ascii="Times New Roman" w:hAnsi="Times New Roman" w:cs="Times New Roman"/>
          <w:color w:val="222222"/>
          <w:sz w:val="24"/>
          <w:szCs w:val="24"/>
          <w:shd w:val="clear" w:color="auto" w:fill="FFFFFF"/>
        </w:rPr>
        <w:t>Altman, S. H., Butler, A. S., Shern, L., &amp; National Academies of Sciences, Engineering, and Medicine. (2016). Removing barriers to practice and care. In </w:t>
      </w:r>
      <w:r w:rsidRPr="00914FBB">
        <w:rPr>
          <w:rFonts w:ascii="Times New Roman" w:hAnsi="Times New Roman" w:cs="Times New Roman"/>
          <w:i/>
          <w:iCs/>
          <w:color w:val="222222"/>
          <w:sz w:val="24"/>
          <w:szCs w:val="24"/>
          <w:shd w:val="clear" w:color="auto" w:fill="FFFFFF"/>
        </w:rPr>
        <w:t>Assessing Progress on the Institute of Medicine Report The Future of Nursing</w:t>
      </w:r>
      <w:r w:rsidRPr="00914FBB">
        <w:rPr>
          <w:rFonts w:ascii="Times New Roman" w:hAnsi="Times New Roman" w:cs="Times New Roman"/>
          <w:color w:val="222222"/>
          <w:sz w:val="24"/>
          <w:szCs w:val="24"/>
          <w:shd w:val="clear" w:color="auto" w:fill="FFFFFF"/>
        </w:rPr>
        <w:t>. National Academies Press (US).</w:t>
      </w:r>
    </w:p>
    <w:p w:rsidR="00B27A22" w:rsidRPr="00914FBB" w:rsidRDefault="00B27A22" w:rsidP="00914FBB">
      <w:pPr>
        <w:spacing w:before="100" w:beforeAutospacing="1" w:after="100" w:afterAutospacing="1" w:line="480" w:lineRule="auto"/>
        <w:ind w:left="567" w:hanging="567"/>
        <w:jc w:val="both"/>
        <w:rPr>
          <w:rFonts w:ascii="Times New Roman" w:hAnsi="Times New Roman" w:cs="Times New Roman"/>
          <w:color w:val="222222"/>
          <w:sz w:val="24"/>
          <w:szCs w:val="24"/>
          <w:shd w:val="clear" w:color="auto" w:fill="FFFFFF"/>
        </w:rPr>
      </w:pPr>
      <w:r w:rsidRPr="00914FBB">
        <w:rPr>
          <w:rFonts w:ascii="Times New Roman" w:hAnsi="Times New Roman" w:cs="Times New Roman"/>
          <w:color w:val="222222"/>
          <w:sz w:val="24"/>
          <w:szCs w:val="24"/>
          <w:shd w:val="clear" w:color="auto" w:fill="FFFFFF"/>
        </w:rPr>
        <w:t>Friedman, A., Howard, J., Shaw, E. K., Cohen, D. J., Shahidi, L., &amp; Ferrante, J. M. (2016). Facilitators and barriers to care coordination in patient-centered medical homes (PCMHs) from coordinators' perspectives. </w:t>
      </w:r>
      <w:r w:rsidRPr="00914FBB">
        <w:rPr>
          <w:rFonts w:ascii="Times New Roman" w:hAnsi="Times New Roman" w:cs="Times New Roman"/>
          <w:i/>
          <w:iCs/>
          <w:color w:val="222222"/>
          <w:sz w:val="24"/>
          <w:szCs w:val="24"/>
          <w:shd w:val="clear" w:color="auto" w:fill="FFFFFF"/>
        </w:rPr>
        <w:t>The Journal of the American Board of Family Medicine</w:t>
      </w:r>
      <w:r w:rsidRPr="00914FBB">
        <w:rPr>
          <w:rFonts w:ascii="Times New Roman" w:hAnsi="Times New Roman" w:cs="Times New Roman"/>
          <w:color w:val="222222"/>
          <w:sz w:val="24"/>
          <w:szCs w:val="24"/>
          <w:shd w:val="clear" w:color="auto" w:fill="FFFFFF"/>
        </w:rPr>
        <w:t>, </w:t>
      </w:r>
      <w:r w:rsidRPr="00914FBB">
        <w:rPr>
          <w:rFonts w:ascii="Times New Roman" w:hAnsi="Times New Roman" w:cs="Times New Roman"/>
          <w:i/>
          <w:iCs/>
          <w:color w:val="222222"/>
          <w:sz w:val="24"/>
          <w:szCs w:val="24"/>
          <w:shd w:val="clear" w:color="auto" w:fill="FFFFFF"/>
        </w:rPr>
        <w:t>29</w:t>
      </w:r>
      <w:r w:rsidRPr="00914FBB">
        <w:rPr>
          <w:rFonts w:ascii="Times New Roman" w:hAnsi="Times New Roman" w:cs="Times New Roman"/>
          <w:color w:val="222222"/>
          <w:sz w:val="24"/>
          <w:szCs w:val="24"/>
          <w:shd w:val="clear" w:color="auto" w:fill="FFFFFF"/>
        </w:rPr>
        <w:t>(1), 90-101.</w:t>
      </w:r>
    </w:p>
    <w:p w:rsidR="00914FBB" w:rsidRPr="00914FBB" w:rsidRDefault="00914FBB" w:rsidP="00914FBB">
      <w:pPr>
        <w:spacing w:before="100" w:beforeAutospacing="1" w:after="100" w:afterAutospacing="1" w:line="480" w:lineRule="auto"/>
        <w:ind w:left="567" w:hanging="567"/>
        <w:rPr>
          <w:rFonts w:ascii="Times New Roman" w:eastAsia="Times New Roman" w:hAnsi="Times New Roman" w:cs="Times New Roman"/>
          <w:sz w:val="24"/>
          <w:szCs w:val="24"/>
        </w:rPr>
      </w:pPr>
      <w:r w:rsidRPr="00914FBB">
        <w:rPr>
          <w:rFonts w:ascii="Times New Roman" w:eastAsia="Times New Roman" w:hAnsi="Times New Roman" w:cs="Times New Roman"/>
          <w:i/>
          <w:iCs/>
          <w:sz w:val="24"/>
          <w:szCs w:val="24"/>
        </w:rPr>
        <w:t>Improve care coordination</w:t>
      </w:r>
      <w:r w:rsidRPr="00914FBB">
        <w:rPr>
          <w:rFonts w:ascii="Times New Roman" w:eastAsia="Times New Roman" w:hAnsi="Times New Roman" w:cs="Times New Roman"/>
          <w:sz w:val="24"/>
          <w:szCs w:val="24"/>
        </w:rPr>
        <w:t xml:space="preserve">. HealthIT.gov. (2017, September 15). Retrieved October 5, 2021, from </w:t>
      </w:r>
      <w:hyperlink r:id="rId6" w:history="1">
        <w:r w:rsidRPr="00914FBB">
          <w:rPr>
            <w:rStyle w:val="Hyperlink"/>
            <w:rFonts w:ascii="Times New Roman" w:eastAsia="Times New Roman" w:hAnsi="Times New Roman" w:cs="Times New Roman"/>
            <w:sz w:val="24"/>
            <w:szCs w:val="24"/>
          </w:rPr>
          <w:t>https://www.healthit.gov/topic/health-it-and-health-information-exchange-basics/improve-care-coordination</w:t>
        </w:r>
      </w:hyperlink>
      <w:r w:rsidRPr="00914FBB">
        <w:rPr>
          <w:rFonts w:ascii="Times New Roman" w:eastAsia="Times New Roman" w:hAnsi="Times New Roman" w:cs="Times New Roman"/>
          <w:sz w:val="24"/>
          <w:szCs w:val="24"/>
        </w:rPr>
        <w:t>.</w:t>
      </w:r>
    </w:p>
    <w:p w:rsidR="00247178" w:rsidRPr="00914FBB" w:rsidRDefault="00247178" w:rsidP="00914FBB">
      <w:pPr>
        <w:spacing w:before="100" w:beforeAutospacing="1" w:after="100" w:afterAutospacing="1" w:line="480" w:lineRule="auto"/>
        <w:ind w:left="567" w:hanging="567"/>
        <w:rPr>
          <w:rFonts w:ascii="Times New Roman" w:eastAsia="Times New Roman" w:hAnsi="Times New Roman" w:cs="Times New Roman"/>
          <w:sz w:val="24"/>
          <w:szCs w:val="24"/>
        </w:rPr>
      </w:pPr>
      <w:r w:rsidRPr="00914FBB">
        <w:rPr>
          <w:rFonts w:ascii="Times New Roman" w:hAnsi="Times New Roman" w:cs="Times New Roman"/>
          <w:color w:val="222222"/>
          <w:sz w:val="24"/>
          <w:szCs w:val="24"/>
          <w:shd w:val="clear" w:color="auto" w:fill="FFFFFF"/>
        </w:rPr>
        <w:t>Schroeder, K., &amp; Lorenz, K. (2018). Nursing and the future of palliative care. </w:t>
      </w:r>
      <w:r w:rsidRPr="00914FBB">
        <w:rPr>
          <w:rFonts w:ascii="Times New Roman" w:hAnsi="Times New Roman" w:cs="Times New Roman"/>
          <w:i/>
          <w:iCs/>
          <w:color w:val="222222"/>
          <w:sz w:val="24"/>
          <w:szCs w:val="24"/>
          <w:shd w:val="clear" w:color="auto" w:fill="FFFFFF"/>
        </w:rPr>
        <w:t>Asia-Pacific journal of oncology nursing</w:t>
      </w:r>
      <w:r w:rsidRPr="00914FBB">
        <w:rPr>
          <w:rFonts w:ascii="Times New Roman" w:hAnsi="Times New Roman" w:cs="Times New Roman"/>
          <w:color w:val="222222"/>
          <w:sz w:val="24"/>
          <w:szCs w:val="24"/>
          <w:shd w:val="clear" w:color="auto" w:fill="FFFFFF"/>
        </w:rPr>
        <w:t>, </w:t>
      </w:r>
      <w:r w:rsidRPr="00914FBB">
        <w:rPr>
          <w:rFonts w:ascii="Times New Roman" w:hAnsi="Times New Roman" w:cs="Times New Roman"/>
          <w:i/>
          <w:iCs/>
          <w:color w:val="222222"/>
          <w:sz w:val="24"/>
          <w:szCs w:val="24"/>
          <w:shd w:val="clear" w:color="auto" w:fill="FFFFFF"/>
        </w:rPr>
        <w:t>5</w:t>
      </w:r>
      <w:r w:rsidRPr="00914FBB">
        <w:rPr>
          <w:rFonts w:ascii="Times New Roman" w:hAnsi="Times New Roman" w:cs="Times New Roman"/>
          <w:color w:val="222222"/>
          <w:sz w:val="24"/>
          <w:szCs w:val="24"/>
          <w:shd w:val="clear" w:color="auto" w:fill="FFFFFF"/>
        </w:rPr>
        <w:t>(1), 4.</w:t>
      </w: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Pr="00054337" w:rsidRDefault="00247178" w:rsidP="00247178">
      <w:pPr>
        <w:rPr>
          <w:rFonts w:ascii="Times New Roman" w:hAnsi="Times New Roman" w:cs="Times New Roman"/>
          <w:sz w:val="24"/>
          <w:szCs w:val="24"/>
        </w:rPr>
      </w:pPr>
    </w:p>
    <w:p w:rsidR="00247178" w:rsidRDefault="00247178" w:rsidP="00247178"/>
    <w:p w:rsidR="00247178" w:rsidRDefault="00247178"/>
    <w:sectPr w:rsidR="00247178" w:rsidSect="0025782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4594" w:rsidRDefault="00124594" w:rsidP="00257829">
      <w:pPr>
        <w:spacing w:after="0" w:line="240" w:lineRule="auto"/>
      </w:pPr>
      <w:r>
        <w:separator/>
      </w:r>
    </w:p>
  </w:endnote>
  <w:endnote w:type="continuationSeparator" w:id="1">
    <w:p w:rsidR="00124594" w:rsidRDefault="00124594" w:rsidP="002578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4594" w:rsidRDefault="00124594" w:rsidP="00257829">
      <w:pPr>
        <w:spacing w:after="0" w:line="240" w:lineRule="auto"/>
      </w:pPr>
      <w:r>
        <w:separator/>
      </w:r>
    </w:p>
  </w:footnote>
  <w:footnote w:type="continuationSeparator" w:id="1">
    <w:p w:rsidR="00124594" w:rsidRDefault="00124594" w:rsidP="002578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801F56"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6C0170"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A06415">
          <w:rPr>
            <w:rFonts w:ascii="Times New Roman" w:hAnsi="Times New Roman" w:cs="Times New Roman"/>
            <w:noProof/>
            <w:sz w:val="24"/>
            <w:szCs w:val="24"/>
          </w:rPr>
          <w:t>1</w:t>
        </w:r>
        <w:r w:rsidRPr="008F1548">
          <w:rPr>
            <w:rFonts w:ascii="Times New Roman" w:hAnsi="Times New Roman" w:cs="Times New Roman"/>
            <w:noProof/>
            <w:sz w:val="24"/>
            <w:szCs w:val="24"/>
          </w:rPr>
          <w:fldChar w:fldCharType="end"/>
        </w:r>
      </w:p>
    </w:sdtContent>
  </w:sdt>
  <w:p w:rsidR="008F1548" w:rsidRDefault="001245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7178"/>
    <w:rsid w:val="000757D8"/>
    <w:rsid w:val="00124594"/>
    <w:rsid w:val="001B3011"/>
    <w:rsid w:val="00247178"/>
    <w:rsid w:val="00257829"/>
    <w:rsid w:val="006C0170"/>
    <w:rsid w:val="00801F56"/>
    <w:rsid w:val="00914FBB"/>
    <w:rsid w:val="009257A2"/>
    <w:rsid w:val="00A06415"/>
    <w:rsid w:val="00A867E2"/>
    <w:rsid w:val="00B27A22"/>
    <w:rsid w:val="00C8525F"/>
    <w:rsid w:val="00F00D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1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717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7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178"/>
  </w:style>
  <w:style w:type="character" w:styleId="Hyperlink">
    <w:name w:val="Hyperlink"/>
    <w:basedOn w:val="DefaultParagraphFont"/>
    <w:uiPriority w:val="99"/>
    <w:unhideWhenUsed/>
    <w:rsid w:val="00247178"/>
    <w:rPr>
      <w:color w:val="0563C1" w:themeColor="hyperlink"/>
      <w:u w:val="single"/>
    </w:rPr>
  </w:style>
  <w:style w:type="character" w:customStyle="1" w:styleId="UnresolvedMention">
    <w:name w:val="Unresolved Mention"/>
    <w:basedOn w:val="DefaultParagraphFont"/>
    <w:uiPriority w:val="99"/>
    <w:semiHidden/>
    <w:unhideWhenUsed/>
    <w:rsid w:val="00914FB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4336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it.gov/topic/health-it-and-health-information-exchange-basics/improve-care-coordina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2</cp:revision>
  <dcterms:created xsi:type="dcterms:W3CDTF">2021-10-05T11:01:00Z</dcterms:created>
  <dcterms:modified xsi:type="dcterms:W3CDTF">2021-10-05T11:01:00Z</dcterms:modified>
</cp:coreProperties>
</file>